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2C8" w:rsidRDefault="00D653FE"/>
    <w:p w:rsidR="005A031C" w:rsidRDefault="005A031C" w:rsidP="005A031C">
      <w:r>
        <w:rPr>
          <w:b/>
        </w:rPr>
        <w:t xml:space="preserve">OBIETTIVO </w:t>
      </w:r>
      <w:proofErr w:type="gramStart"/>
      <w:r>
        <w:rPr>
          <w:b/>
        </w:rPr>
        <w:t xml:space="preserve">GENERALE:  </w:t>
      </w:r>
      <w:r>
        <w:t>lo</w:t>
      </w:r>
      <w:proofErr w:type="gramEnd"/>
      <w:r>
        <w:t xml:space="preserve"> studente al termine del corso deve essere in grado di utilizzare il processo infermieristico  per la valutazione e la risoluzione   problemi assistenziali correlati alle principali manifestazioni cliniche  nell’area della medicina interna</w:t>
      </w:r>
    </w:p>
    <w:p w:rsidR="005A031C" w:rsidRDefault="005A031C">
      <w:r>
        <w:rPr>
          <w:b/>
        </w:rPr>
        <w:t xml:space="preserve">OBIETTIVI </w:t>
      </w:r>
      <w:proofErr w:type="gramStart"/>
      <w:r>
        <w:rPr>
          <w:b/>
        </w:rPr>
        <w:t xml:space="preserve">SPECIFICI: </w:t>
      </w:r>
      <w:r>
        <w:t xml:space="preserve"> lo</w:t>
      </w:r>
      <w:proofErr w:type="gramEnd"/>
      <w:r>
        <w:t xml:space="preserve"> studente al termine del corso  dovrà essere in</w:t>
      </w:r>
      <w:r w:rsidR="00104A44">
        <w:t xml:space="preserve"> </w:t>
      </w:r>
      <w:r>
        <w:t xml:space="preserve">grado di:  descrivere correttamente le procedure infermieristiche,  identificare i problemi </w:t>
      </w:r>
      <w:r w:rsidR="00104A44">
        <w:t xml:space="preserve">prioritari </w:t>
      </w:r>
      <w:r>
        <w:t xml:space="preserve">di salute, effettivi o potenziali conducibili a soluzione mediante intervento infermieristico con l’enunciazione delle diagnosi infermieristiche secondo le metodologie del  North  American Nursing </w:t>
      </w:r>
      <w:proofErr w:type="spellStart"/>
      <w:r>
        <w:t>Diagnosis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(NANDA) e </w:t>
      </w:r>
      <w:proofErr w:type="spellStart"/>
      <w:r>
        <w:t>C</w:t>
      </w:r>
      <w:r w:rsidR="00104A44">
        <w:t>arpenito</w:t>
      </w:r>
      <w:proofErr w:type="spellEnd"/>
      <w:r w:rsidR="00104A44">
        <w:t xml:space="preserve"> L.J..</w:t>
      </w:r>
    </w:p>
    <w:p w:rsidR="00DE308F" w:rsidRPr="00694854" w:rsidRDefault="00DE308F" w:rsidP="00194956">
      <w:pPr>
        <w:spacing w:after="0"/>
        <w:rPr>
          <w:sz w:val="10"/>
        </w:rPr>
      </w:pPr>
    </w:p>
    <w:p w:rsidR="00C604C2" w:rsidRPr="00C604C2" w:rsidRDefault="00C604C2" w:rsidP="00C604C2">
      <w:pPr>
        <w:rPr>
          <w:b/>
        </w:rPr>
      </w:pPr>
      <w:r w:rsidRPr="00C604C2">
        <w:rPr>
          <w:b/>
        </w:rPr>
        <w:t xml:space="preserve">PIANIFICAZIONE DELL’ASSISTENZA ALLA PERSONA SOTTOPOSTA A: </w:t>
      </w:r>
      <w:proofErr w:type="gramStart"/>
      <w:r w:rsidRPr="00C604C2">
        <w:rPr>
          <w:b/>
        </w:rPr>
        <w:t>TERAPIA  FARMACOLOGICA</w:t>
      </w:r>
      <w:proofErr w:type="gramEnd"/>
    </w:p>
    <w:p w:rsidR="00C604C2" w:rsidRDefault="00365220" w:rsidP="00846E3A">
      <w:pPr>
        <w:pStyle w:val="Paragrafoelenco"/>
        <w:numPr>
          <w:ilvl w:val="0"/>
          <w:numId w:val="6"/>
        </w:numPr>
        <w:suppressAutoHyphens/>
        <w:spacing w:after="0" w:line="240" w:lineRule="auto"/>
      </w:pPr>
      <w:r>
        <w:t>A</w:t>
      </w:r>
      <w:r w:rsidR="00C604C2">
        <w:t>spetti legali legati alla somministrazione dei farmaci;</w:t>
      </w:r>
    </w:p>
    <w:p w:rsidR="00365220" w:rsidRPr="00846E3A" w:rsidRDefault="00365220" w:rsidP="00846E3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omicSansMS-Bold"/>
          <w:bCs/>
          <w:color w:val="0C0C0C"/>
          <w:szCs w:val="32"/>
        </w:rPr>
      </w:pPr>
      <w:r w:rsidRPr="00846E3A">
        <w:rPr>
          <w:rFonts w:cs="ComicSansMS-Bold"/>
          <w:bCs/>
          <w:color w:val="0C0C0C"/>
          <w:szCs w:val="32"/>
        </w:rPr>
        <w:t>Principi per la somministrazione dei farmaci e raccolta dati sul paziente;</w:t>
      </w:r>
    </w:p>
    <w:p w:rsidR="00365220" w:rsidRPr="00846E3A" w:rsidRDefault="00365220" w:rsidP="00846E3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omicSansMS-Bold"/>
          <w:bCs/>
          <w:color w:val="0C0C0C"/>
          <w:szCs w:val="32"/>
        </w:rPr>
      </w:pPr>
      <w:r w:rsidRPr="00846E3A">
        <w:rPr>
          <w:rFonts w:cs="ComicSansMS-Bold"/>
          <w:bCs/>
          <w:color w:val="0C0C0C"/>
          <w:szCs w:val="32"/>
        </w:rPr>
        <w:t>Modalità di assorbimento dei farmaci somministrati per le diverse vie;</w:t>
      </w:r>
    </w:p>
    <w:p w:rsidR="00365220" w:rsidRPr="00846E3A" w:rsidRDefault="00365220" w:rsidP="00846E3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omicSansMS-Bold"/>
          <w:bCs/>
          <w:color w:val="0C0C0C"/>
          <w:szCs w:val="32"/>
        </w:rPr>
      </w:pPr>
      <w:r w:rsidRPr="00846E3A">
        <w:rPr>
          <w:rFonts w:cs="ComicSansMS-Bold"/>
          <w:bCs/>
          <w:color w:val="0C0C0C"/>
          <w:szCs w:val="32"/>
        </w:rPr>
        <w:t>Sedi anatomiche per le iniezioni intradermiche, sottocutanee e intramuscolari,</w:t>
      </w:r>
    </w:p>
    <w:p w:rsidR="00365220" w:rsidRPr="00846E3A" w:rsidRDefault="00365220" w:rsidP="00846E3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omicSansMS-Bold"/>
          <w:bCs/>
          <w:color w:val="0C0C0C"/>
          <w:szCs w:val="32"/>
        </w:rPr>
      </w:pPr>
      <w:proofErr w:type="gramStart"/>
      <w:r w:rsidRPr="00846E3A">
        <w:rPr>
          <w:rFonts w:cs="ComicSansMS-Bold"/>
          <w:bCs/>
          <w:color w:val="0C0C0C"/>
          <w:szCs w:val="32"/>
        </w:rPr>
        <w:t>endovenose</w:t>
      </w:r>
      <w:proofErr w:type="gramEnd"/>
      <w:r w:rsidRPr="00846E3A">
        <w:rPr>
          <w:rFonts w:cs="ComicSansMS-Bold"/>
          <w:bCs/>
          <w:color w:val="0C0C0C"/>
          <w:szCs w:val="32"/>
        </w:rPr>
        <w:t>: la scelta, la valutazione delle sedi e le precauzioni da adottare;</w:t>
      </w:r>
    </w:p>
    <w:p w:rsidR="00365220" w:rsidRPr="00846E3A" w:rsidRDefault="00365220" w:rsidP="00846E3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omicSansMS-Bold"/>
          <w:bCs/>
          <w:color w:val="0C0C0C"/>
          <w:szCs w:val="32"/>
        </w:rPr>
      </w:pPr>
      <w:r w:rsidRPr="00846E3A">
        <w:rPr>
          <w:rFonts w:cs="ComicSansMS-Bold"/>
          <w:bCs/>
          <w:color w:val="0C0C0C"/>
          <w:szCs w:val="32"/>
        </w:rPr>
        <w:t>Sangue e i principali esami di laboratorio;</w:t>
      </w:r>
    </w:p>
    <w:p w:rsidR="00365220" w:rsidRPr="00846E3A" w:rsidRDefault="00365220" w:rsidP="00846E3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omicSansMS-Bold"/>
          <w:bCs/>
          <w:color w:val="0C0C0C"/>
          <w:szCs w:val="32"/>
        </w:rPr>
      </w:pPr>
      <w:r w:rsidRPr="00846E3A">
        <w:rPr>
          <w:rFonts w:cs="ComicSansMS-Bold"/>
          <w:bCs/>
          <w:color w:val="0C0C0C"/>
          <w:szCs w:val="32"/>
        </w:rPr>
        <w:t>Scelta delle sedi per la puntura venosa, arteriosa e capillare;</w:t>
      </w:r>
    </w:p>
    <w:p w:rsidR="00365220" w:rsidRPr="00846E3A" w:rsidRDefault="00365220" w:rsidP="00846E3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omicSansMS-Bold"/>
          <w:bCs/>
          <w:color w:val="0C0C0C"/>
          <w:szCs w:val="32"/>
        </w:rPr>
      </w:pPr>
      <w:r w:rsidRPr="00846E3A">
        <w:rPr>
          <w:rFonts w:cs="ComicSansMS-Bold"/>
          <w:bCs/>
          <w:color w:val="0C0C0C"/>
          <w:szCs w:val="32"/>
        </w:rPr>
        <w:t>Prevenzione delle infezioni associate a procedure intravascolari;</w:t>
      </w:r>
    </w:p>
    <w:p w:rsidR="00365220" w:rsidRPr="00846E3A" w:rsidRDefault="00365220" w:rsidP="00846E3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omicSansMS-Bold"/>
          <w:bCs/>
          <w:color w:val="0C0C0C"/>
          <w:szCs w:val="32"/>
        </w:rPr>
      </w:pPr>
      <w:r w:rsidRPr="00846E3A">
        <w:rPr>
          <w:rFonts w:cs="ComicSansMS-Bold"/>
          <w:bCs/>
          <w:color w:val="0C0C0C"/>
          <w:szCs w:val="32"/>
        </w:rPr>
        <w:t>Assisten</w:t>
      </w:r>
      <w:r w:rsidR="00846E3A" w:rsidRPr="00846E3A">
        <w:rPr>
          <w:rFonts w:cs="ComicSansMS-Bold"/>
          <w:bCs/>
          <w:color w:val="0C0C0C"/>
          <w:szCs w:val="32"/>
        </w:rPr>
        <w:t>za al paziente sottoposto a veni</w:t>
      </w:r>
      <w:r w:rsidRPr="00846E3A">
        <w:rPr>
          <w:rFonts w:cs="ComicSansMS-Bold"/>
          <w:bCs/>
          <w:color w:val="0C0C0C"/>
          <w:szCs w:val="32"/>
        </w:rPr>
        <w:t>puntura;</w:t>
      </w:r>
    </w:p>
    <w:p w:rsidR="00365220" w:rsidRPr="00846E3A" w:rsidRDefault="00365220" w:rsidP="00846E3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omicSansMS-Bold"/>
          <w:bCs/>
          <w:color w:val="0C0C0C"/>
          <w:szCs w:val="32"/>
        </w:rPr>
      </w:pPr>
      <w:r w:rsidRPr="00846E3A">
        <w:rPr>
          <w:rFonts w:cs="ComicSansMS-Bold"/>
          <w:bCs/>
          <w:color w:val="0C0C0C"/>
          <w:szCs w:val="32"/>
        </w:rPr>
        <w:t>Prelievo di sangue capillare;</w:t>
      </w:r>
    </w:p>
    <w:p w:rsidR="00365220" w:rsidRPr="00846E3A" w:rsidRDefault="00365220" w:rsidP="00846E3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omicSansMS-Bold"/>
          <w:bCs/>
          <w:color w:val="0C0C0C"/>
          <w:szCs w:val="32"/>
        </w:rPr>
      </w:pPr>
      <w:r w:rsidRPr="00846E3A">
        <w:rPr>
          <w:rFonts w:cs="ComicSansMS-Bold"/>
          <w:bCs/>
          <w:color w:val="0C0C0C"/>
          <w:szCs w:val="32"/>
        </w:rPr>
        <w:t>Emocoltura;</w:t>
      </w:r>
    </w:p>
    <w:p w:rsidR="008C3687" w:rsidRPr="00846E3A" w:rsidRDefault="00365220" w:rsidP="00846E3A">
      <w:pPr>
        <w:pStyle w:val="Paragrafoelenco"/>
        <w:numPr>
          <w:ilvl w:val="0"/>
          <w:numId w:val="6"/>
        </w:numPr>
        <w:rPr>
          <w:rFonts w:cs="ComicSansMS-Bold"/>
          <w:bCs/>
          <w:color w:val="0C0C0C"/>
          <w:szCs w:val="32"/>
        </w:rPr>
      </w:pPr>
      <w:r w:rsidRPr="00846E3A">
        <w:rPr>
          <w:rFonts w:cs="ComicSansMS-Bold"/>
          <w:bCs/>
          <w:color w:val="0C0C0C"/>
          <w:szCs w:val="32"/>
        </w:rPr>
        <w:t>Prelievo di sangue arterioso.</w:t>
      </w:r>
    </w:p>
    <w:p w:rsidR="00C604C2" w:rsidRPr="00DE308F" w:rsidRDefault="00C604C2" w:rsidP="00C604C2">
      <w:pPr>
        <w:rPr>
          <w:sz w:val="20"/>
        </w:rPr>
      </w:pPr>
      <w:proofErr w:type="gramStart"/>
      <w:r w:rsidRPr="00DE308F">
        <w:rPr>
          <w:b/>
          <w:sz w:val="20"/>
        </w:rPr>
        <w:t>PIANI</w:t>
      </w:r>
      <w:r w:rsidR="000B4A44">
        <w:rPr>
          <w:b/>
          <w:sz w:val="20"/>
        </w:rPr>
        <w:t xml:space="preserve">FICAZIONE </w:t>
      </w:r>
      <w:r w:rsidRPr="00DE308F">
        <w:rPr>
          <w:b/>
          <w:sz w:val="20"/>
        </w:rPr>
        <w:t xml:space="preserve"> D</w:t>
      </w:r>
      <w:r w:rsidR="000B4A44">
        <w:rPr>
          <w:b/>
          <w:sz w:val="20"/>
        </w:rPr>
        <w:t>ELL</w:t>
      </w:r>
      <w:proofErr w:type="gramEnd"/>
      <w:r w:rsidR="000B4A44">
        <w:rPr>
          <w:b/>
          <w:sz w:val="20"/>
        </w:rPr>
        <w:t xml:space="preserve">’ </w:t>
      </w:r>
      <w:r w:rsidRPr="00DE308F">
        <w:rPr>
          <w:b/>
          <w:sz w:val="20"/>
        </w:rPr>
        <w:t>ASSISTENZA A</w:t>
      </w:r>
      <w:r w:rsidR="000B4A44">
        <w:rPr>
          <w:b/>
          <w:sz w:val="20"/>
        </w:rPr>
        <w:t xml:space="preserve">LLA </w:t>
      </w:r>
      <w:r w:rsidRPr="00DE308F">
        <w:rPr>
          <w:b/>
          <w:sz w:val="20"/>
        </w:rPr>
        <w:t xml:space="preserve"> </w:t>
      </w:r>
      <w:r w:rsidR="000B4A44">
        <w:rPr>
          <w:b/>
          <w:sz w:val="20"/>
        </w:rPr>
        <w:t>PERSONA  AFFETTA</w:t>
      </w:r>
      <w:r w:rsidRPr="00DE308F">
        <w:rPr>
          <w:b/>
          <w:sz w:val="20"/>
        </w:rPr>
        <w:t xml:space="preserve"> DA:</w:t>
      </w:r>
    </w:p>
    <w:p w:rsidR="00C604C2" w:rsidRPr="00DE308F" w:rsidRDefault="00C604C2" w:rsidP="00C604C2">
      <w:pPr>
        <w:numPr>
          <w:ilvl w:val="0"/>
          <w:numId w:val="3"/>
        </w:numPr>
        <w:suppressAutoHyphens/>
        <w:spacing w:after="0" w:line="240" w:lineRule="auto"/>
        <w:rPr>
          <w:sz w:val="20"/>
        </w:rPr>
      </w:pPr>
      <w:r w:rsidRPr="00DE308F">
        <w:rPr>
          <w:sz w:val="20"/>
        </w:rPr>
        <w:t>BRONCO-PNEUMOPATIE CRONICO-OSTRUTTIVE;</w:t>
      </w:r>
    </w:p>
    <w:p w:rsidR="00365220" w:rsidRPr="00DE308F" w:rsidRDefault="00365220" w:rsidP="00C604C2">
      <w:pPr>
        <w:numPr>
          <w:ilvl w:val="0"/>
          <w:numId w:val="3"/>
        </w:numPr>
        <w:suppressAutoHyphens/>
        <w:spacing w:after="0" w:line="240" w:lineRule="auto"/>
        <w:rPr>
          <w:sz w:val="20"/>
        </w:rPr>
      </w:pPr>
      <w:r w:rsidRPr="00DE308F">
        <w:rPr>
          <w:sz w:val="20"/>
        </w:rPr>
        <w:t>ASMA BRONCHIALE;</w:t>
      </w:r>
    </w:p>
    <w:p w:rsidR="00104A44" w:rsidRPr="00DE308F" w:rsidRDefault="00163264" w:rsidP="00365220">
      <w:pPr>
        <w:numPr>
          <w:ilvl w:val="0"/>
          <w:numId w:val="3"/>
        </w:numPr>
        <w:suppressAutoHyphens/>
        <w:spacing w:after="0" w:line="240" w:lineRule="auto"/>
        <w:rPr>
          <w:sz w:val="20"/>
        </w:rPr>
      </w:pPr>
      <w:r>
        <w:rPr>
          <w:sz w:val="20"/>
        </w:rPr>
        <w:t>DOLORE TORACICO</w:t>
      </w:r>
      <w:r w:rsidR="00C604C2" w:rsidRPr="00DE308F">
        <w:rPr>
          <w:sz w:val="20"/>
        </w:rPr>
        <w:t xml:space="preserve">;  </w:t>
      </w:r>
    </w:p>
    <w:p w:rsidR="00C604C2" w:rsidRPr="00DE308F" w:rsidRDefault="00C604C2" w:rsidP="00C604C2">
      <w:pPr>
        <w:numPr>
          <w:ilvl w:val="0"/>
          <w:numId w:val="3"/>
        </w:numPr>
        <w:suppressAutoHyphens/>
        <w:spacing w:after="0" w:line="240" w:lineRule="auto"/>
        <w:rPr>
          <w:sz w:val="20"/>
        </w:rPr>
      </w:pPr>
      <w:r w:rsidRPr="00DE308F">
        <w:rPr>
          <w:sz w:val="20"/>
        </w:rPr>
        <w:t>INFARTO ACUTO DEL MIOCARDIO;</w:t>
      </w:r>
    </w:p>
    <w:p w:rsidR="00C604C2" w:rsidRPr="00DE308F" w:rsidRDefault="00163264" w:rsidP="00C604C2">
      <w:pPr>
        <w:numPr>
          <w:ilvl w:val="0"/>
          <w:numId w:val="3"/>
        </w:numPr>
        <w:suppressAutoHyphens/>
        <w:spacing w:after="0" w:line="240" w:lineRule="auto"/>
        <w:rPr>
          <w:sz w:val="20"/>
        </w:rPr>
      </w:pPr>
      <w:r>
        <w:rPr>
          <w:sz w:val="20"/>
        </w:rPr>
        <w:t xml:space="preserve">SCOMPENSO </w:t>
      </w:r>
      <w:proofErr w:type="gramStart"/>
      <w:r>
        <w:rPr>
          <w:sz w:val="20"/>
        </w:rPr>
        <w:t>CARDIACO</w:t>
      </w:r>
      <w:r w:rsidR="00C604C2" w:rsidRPr="00DE308F">
        <w:rPr>
          <w:sz w:val="20"/>
        </w:rPr>
        <w:t xml:space="preserve"> ;</w:t>
      </w:r>
      <w:proofErr w:type="gramEnd"/>
    </w:p>
    <w:p w:rsidR="00194956" w:rsidRPr="00694854" w:rsidRDefault="00194956" w:rsidP="00DE308F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10"/>
        </w:rPr>
      </w:pPr>
    </w:p>
    <w:p w:rsidR="00194956" w:rsidRDefault="00104A44" w:rsidP="00194956">
      <w:pPr>
        <w:autoSpaceDE w:val="0"/>
        <w:autoSpaceDN w:val="0"/>
        <w:adjustRightInd w:val="0"/>
        <w:spacing w:after="0" w:line="240" w:lineRule="auto"/>
        <w:ind w:firstLine="360"/>
        <w:rPr>
          <w:rFonts w:ascii="Candara" w:hAnsi="Candara" w:cs="Candara"/>
          <w:color w:val="000000"/>
        </w:rPr>
      </w:pPr>
      <w:r>
        <w:rPr>
          <w:rFonts w:ascii="Candara" w:hAnsi="Candara" w:cs="Candara"/>
          <w:color w:val="000000"/>
        </w:rPr>
        <w:t>-P</w:t>
      </w:r>
      <w:r w:rsidRPr="00104A44">
        <w:rPr>
          <w:rFonts w:ascii="Candara" w:hAnsi="Candara" w:cs="Candara"/>
          <w:color w:val="000000"/>
        </w:rPr>
        <w:t xml:space="preserve">iano assistenziale nei pazienti con problemi respiratori (asma, BPCO e tabagismo); </w:t>
      </w:r>
    </w:p>
    <w:p w:rsidR="00104A44" w:rsidRPr="00104A44" w:rsidRDefault="00104A44" w:rsidP="00104A44">
      <w:pPr>
        <w:autoSpaceDE w:val="0"/>
        <w:autoSpaceDN w:val="0"/>
        <w:adjustRightInd w:val="0"/>
        <w:spacing w:after="7" w:line="240" w:lineRule="auto"/>
        <w:ind w:firstLine="360"/>
        <w:rPr>
          <w:rFonts w:ascii="Candara" w:hAnsi="Candara" w:cs="Candara"/>
          <w:color w:val="000000"/>
        </w:rPr>
      </w:pPr>
      <w:r>
        <w:rPr>
          <w:rFonts w:ascii="Candara" w:hAnsi="Candara" w:cs="Candara"/>
          <w:color w:val="000000"/>
        </w:rPr>
        <w:t>-</w:t>
      </w:r>
      <w:r w:rsidRPr="00104A44">
        <w:rPr>
          <w:rFonts w:ascii="Candara" w:hAnsi="Candara" w:cs="Candara"/>
          <w:color w:val="000000"/>
        </w:rPr>
        <w:t xml:space="preserve">accertamento infermieristico di base, e mirato relativo all’asma, alla BPCO e al tabagismo; </w:t>
      </w:r>
    </w:p>
    <w:p w:rsidR="00104A44" w:rsidRDefault="00104A44" w:rsidP="00104A44">
      <w:pPr>
        <w:autoSpaceDE w:val="0"/>
        <w:autoSpaceDN w:val="0"/>
        <w:adjustRightInd w:val="0"/>
        <w:spacing w:after="7" w:line="240" w:lineRule="auto"/>
        <w:ind w:firstLine="360"/>
        <w:rPr>
          <w:rFonts w:ascii="Candara" w:hAnsi="Candara" w:cs="Candara"/>
          <w:color w:val="000000"/>
        </w:rPr>
      </w:pPr>
      <w:r>
        <w:rPr>
          <w:rFonts w:ascii="Candara" w:hAnsi="Candara" w:cs="Candara"/>
          <w:color w:val="000000"/>
        </w:rPr>
        <w:t>-</w:t>
      </w:r>
      <w:r w:rsidRPr="00104A44">
        <w:rPr>
          <w:rFonts w:ascii="Candara" w:hAnsi="Candara" w:cs="Candara"/>
          <w:color w:val="000000"/>
        </w:rPr>
        <w:t>diagnosi infermieristiche e/o problemi collaborativi, relativi all’</w:t>
      </w:r>
      <w:r>
        <w:rPr>
          <w:rFonts w:ascii="Candara" w:hAnsi="Candara" w:cs="Candara"/>
          <w:color w:val="000000"/>
        </w:rPr>
        <w:t>asma, alla BPCO e al tabagismo.</w:t>
      </w:r>
    </w:p>
    <w:p w:rsidR="00104A44" w:rsidRDefault="00104A44" w:rsidP="00104A44">
      <w:pPr>
        <w:autoSpaceDE w:val="0"/>
        <w:autoSpaceDN w:val="0"/>
        <w:adjustRightInd w:val="0"/>
        <w:spacing w:after="7" w:line="240" w:lineRule="auto"/>
        <w:rPr>
          <w:rFonts w:ascii="Candara" w:hAnsi="Candara" w:cs="Candara"/>
          <w:color w:val="000000"/>
        </w:rPr>
      </w:pPr>
    </w:p>
    <w:p w:rsidR="000B4A44" w:rsidRDefault="000B4A44" w:rsidP="00104A44">
      <w:pPr>
        <w:autoSpaceDE w:val="0"/>
        <w:autoSpaceDN w:val="0"/>
        <w:adjustRightInd w:val="0"/>
        <w:spacing w:after="0" w:line="240" w:lineRule="auto"/>
        <w:ind w:firstLine="360"/>
        <w:rPr>
          <w:rFonts w:ascii="Candara" w:hAnsi="Candara" w:cs="Candara"/>
          <w:color w:val="000000"/>
        </w:rPr>
      </w:pPr>
    </w:p>
    <w:p w:rsidR="00104A44" w:rsidRPr="00104A44" w:rsidRDefault="00104A44" w:rsidP="00104A44">
      <w:pPr>
        <w:autoSpaceDE w:val="0"/>
        <w:autoSpaceDN w:val="0"/>
        <w:adjustRightInd w:val="0"/>
        <w:spacing w:after="0" w:line="240" w:lineRule="auto"/>
        <w:ind w:firstLine="360"/>
        <w:rPr>
          <w:rFonts w:ascii="Candara" w:hAnsi="Candara" w:cs="Candara"/>
          <w:color w:val="000000"/>
        </w:rPr>
      </w:pPr>
      <w:r>
        <w:rPr>
          <w:rFonts w:ascii="Candara" w:hAnsi="Candara" w:cs="Candara"/>
          <w:color w:val="000000"/>
        </w:rPr>
        <w:t>-P</w:t>
      </w:r>
      <w:r w:rsidRPr="00104A44">
        <w:rPr>
          <w:rFonts w:ascii="Candara" w:hAnsi="Candara" w:cs="Candara"/>
          <w:color w:val="000000"/>
        </w:rPr>
        <w:t xml:space="preserve">iano assistenziale nei pazienti con problemi </w:t>
      </w:r>
      <w:r>
        <w:rPr>
          <w:rFonts w:ascii="Candara" w:hAnsi="Candara" w:cs="Candara"/>
          <w:color w:val="000000"/>
        </w:rPr>
        <w:t xml:space="preserve">cardiocircolatori </w:t>
      </w:r>
      <w:r w:rsidRPr="00104A44">
        <w:rPr>
          <w:rFonts w:ascii="Candara" w:hAnsi="Candara" w:cs="Candara"/>
          <w:color w:val="000000"/>
        </w:rPr>
        <w:t>(</w:t>
      </w:r>
      <w:r>
        <w:rPr>
          <w:rFonts w:ascii="Candara" w:hAnsi="Candara" w:cs="Candara"/>
          <w:color w:val="000000"/>
        </w:rPr>
        <w:t>IMA, Scompenso Cardiaco</w:t>
      </w:r>
      <w:r w:rsidRPr="00104A44">
        <w:rPr>
          <w:rFonts w:ascii="Candara" w:hAnsi="Candara" w:cs="Candara"/>
          <w:color w:val="000000"/>
        </w:rPr>
        <w:t xml:space="preserve">); </w:t>
      </w:r>
    </w:p>
    <w:p w:rsidR="00104A44" w:rsidRPr="00104A44" w:rsidRDefault="00104A44" w:rsidP="00104A44">
      <w:pPr>
        <w:autoSpaceDE w:val="0"/>
        <w:autoSpaceDN w:val="0"/>
        <w:adjustRightInd w:val="0"/>
        <w:spacing w:after="7" w:line="240" w:lineRule="auto"/>
        <w:ind w:firstLine="360"/>
        <w:rPr>
          <w:rFonts w:ascii="Candara" w:hAnsi="Candara" w:cs="Candara"/>
          <w:color w:val="000000"/>
        </w:rPr>
      </w:pPr>
      <w:r>
        <w:rPr>
          <w:rFonts w:ascii="Candara" w:hAnsi="Candara" w:cs="Candara"/>
          <w:color w:val="000000"/>
        </w:rPr>
        <w:t>-</w:t>
      </w:r>
      <w:r w:rsidRPr="00104A44">
        <w:rPr>
          <w:rFonts w:ascii="Candara" w:hAnsi="Candara" w:cs="Candara"/>
          <w:color w:val="000000"/>
        </w:rPr>
        <w:t xml:space="preserve">accertamento infermieristico di base, e mirato relativo </w:t>
      </w:r>
      <w:r>
        <w:rPr>
          <w:rFonts w:ascii="Candara" w:hAnsi="Candara" w:cs="Candara"/>
          <w:color w:val="000000"/>
        </w:rPr>
        <w:t>all’IMA e allo Scompenso cardiaco</w:t>
      </w:r>
      <w:r w:rsidRPr="00104A44">
        <w:rPr>
          <w:rFonts w:ascii="Candara" w:hAnsi="Candara" w:cs="Candara"/>
          <w:color w:val="000000"/>
        </w:rPr>
        <w:t xml:space="preserve">; </w:t>
      </w:r>
    </w:p>
    <w:p w:rsidR="00104A44" w:rsidRDefault="00104A44" w:rsidP="00104A44">
      <w:pPr>
        <w:autoSpaceDE w:val="0"/>
        <w:autoSpaceDN w:val="0"/>
        <w:adjustRightInd w:val="0"/>
        <w:spacing w:after="7" w:line="240" w:lineRule="auto"/>
        <w:ind w:firstLine="360"/>
        <w:rPr>
          <w:rFonts w:ascii="Candara" w:hAnsi="Candara" w:cs="Candara"/>
          <w:color w:val="000000"/>
        </w:rPr>
      </w:pPr>
      <w:r>
        <w:rPr>
          <w:rFonts w:ascii="Candara" w:hAnsi="Candara" w:cs="Candara"/>
          <w:color w:val="000000"/>
        </w:rPr>
        <w:t>-</w:t>
      </w:r>
      <w:r w:rsidRPr="00104A44">
        <w:rPr>
          <w:rFonts w:ascii="Candara" w:hAnsi="Candara" w:cs="Candara"/>
          <w:color w:val="000000"/>
        </w:rPr>
        <w:t xml:space="preserve">diagnosi infermieristiche e/o problemi collaborativi, relativi </w:t>
      </w:r>
      <w:r>
        <w:rPr>
          <w:rFonts w:ascii="Candara" w:hAnsi="Candara" w:cs="Candara"/>
          <w:color w:val="000000"/>
        </w:rPr>
        <w:t>all’IMA e allo Scompenso cardiaco.</w:t>
      </w:r>
    </w:p>
    <w:p w:rsidR="00D653FE" w:rsidRDefault="00D653FE" w:rsidP="00104A44">
      <w:pPr>
        <w:autoSpaceDE w:val="0"/>
        <w:autoSpaceDN w:val="0"/>
        <w:adjustRightInd w:val="0"/>
        <w:spacing w:after="7" w:line="240" w:lineRule="auto"/>
        <w:ind w:firstLine="360"/>
        <w:rPr>
          <w:rFonts w:ascii="Candara" w:hAnsi="Candara" w:cs="Candara"/>
          <w:color w:val="000000"/>
        </w:rPr>
      </w:pPr>
    </w:p>
    <w:p w:rsidR="00D653FE" w:rsidRDefault="00D653FE" w:rsidP="00104A44">
      <w:pPr>
        <w:autoSpaceDE w:val="0"/>
        <w:autoSpaceDN w:val="0"/>
        <w:adjustRightInd w:val="0"/>
        <w:spacing w:after="7" w:line="240" w:lineRule="auto"/>
        <w:ind w:firstLine="360"/>
        <w:rPr>
          <w:rFonts w:cs="Candara"/>
          <w:b/>
          <w:color w:val="000000"/>
          <w:sz w:val="20"/>
          <w:szCs w:val="20"/>
        </w:rPr>
      </w:pPr>
    </w:p>
    <w:p w:rsidR="00D653FE" w:rsidRDefault="00D653FE" w:rsidP="00104A44">
      <w:pPr>
        <w:autoSpaceDE w:val="0"/>
        <w:autoSpaceDN w:val="0"/>
        <w:adjustRightInd w:val="0"/>
        <w:spacing w:after="7" w:line="240" w:lineRule="auto"/>
        <w:ind w:firstLine="360"/>
        <w:rPr>
          <w:rFonts w:cs="Candara"/>
          <w:b/>
          <w:color w:val="000000"/>
          <w:sz w:val="20"/>
          <w:szCs w:val="20"/>
        </w:rPr>
      </w:pPr>
    </w:p>
    <w:p w:rsidR="00D653FE" w:rsidRDefault="00D653FE" w:rsidP="00104A44">
      <w:pPr>
        <w:autoSpaceDE w:val="0"/>
        <w:autoSpaceDN w:val="0"/>
        <w:adjustRightInd w:val="0"/>
        <w:spacing w:after="7" w:line="240" w:lineRule="auto"/>
        <w:ind w:firstLine="360"/>
        <w:rPr>
          <w:rFonts w:cs="Candara"/>
          <w:b/>
          <w:color w:val="000000"/>
          <w:sz w:val="20"/>
          <w:szCs w:val="20"/>
        </w:rPr>
      </w:pPr>
      <w:r w:rsidRPr="00D653FE">
        <w:rPr>
          <w:rFonts w:cs="Candara"/>
          <w:b/>
          <w:color w:val="000000"/>
          <w:sz w:val="20"/>
          <w:szCs w:val="20"/>
        </w:rPr>
        <w:lastRenderedPageBreak/>
        <w:t>ASSISTENZA AL PAZIENTE CON ICTUS</w:t>
      </w:r>
    </w:p>
    <w:p w:rsidR="00D653FE" w:rsidRPr="00D653FE" w:rsidRDefault="00D653FE" w:rsidP="00104A44">
      <w:pPr>
        <w:autoSpaceDE w:val="0"/>
        <w:autoSpaceDN w:val="0"/>
        <w:adjustRightInd w:val="0"/>
        <w:spacing w:after="7" w:line="240" w:lineRule="auto"/>
        <w:ind w:firstLine="360"/>
        <w:rPr>
          <w:rFonts w:cs="Candara"/>
          <w:color w:val="000000"/>
          <w:sz w:val="20"/>
          <w:szCs w:val="20"/>
        </w:rPr>
      </w:pPr>
      <w:r w:rsidRPr="00D653FE">
        <w:rPr>
          <w:rFonts w:cs="Candara"/>
          <w:color w:val="000000"/>
          <w:sz w:val="20"/>
          <w:szCs w:val="20"/>
        </w:rPr>
        <w:t>Inquadramento dell’Ictus – Definizioni</w:t>
      </w:r>
    </w:p>
    <w:p w:rsidR="00D653FE" w:rsidRPr="00D653FE" w:rsidRDefault="00D653FE" w:rsidP="00104A44">
      <w:pPr>
        <w:autoSpaceDE w:val="0"/>
        <w:autoSpaceDN w:val="0"/>
        <w:adjustRightInd w:val="0"/>
        <w:spacing w:after="7" w:line="240" w:lineRule="auto"/>
        <w:ind w:firstLine="360"/>
        <w:rPr>
          <w:rFonts w:cs="Candara"/>
          <w:color w:val="000000"/>
          <w:sz w:val="20"/>
          <w:szCs w:val="20"/>
        </w:rPr>
      </w:pPr>
      <w:r w:rsidRPr="00D653FE">
        <w:rPr>
          <w:rFonts w:cs="Candara"/>
          <w:color w:val="000000"/>
          <w:sz w:val="20"/>
          <w:szCs w:val="20"/>
        </w:rPr>
        <w:t>Classificazione generale</w:t>
      </w:r>
    </w:p>
    <w:p w:rsidR="00D653FE" w:rsidRPr="00D653FE" w:rsidRDefault="00D653FE" w:rsidP="00104A44">
      <w:pPr>
        <w:autoSpaceDE w:val="0"/>
        <w:autoSpaceDN w:val="0"/>
        <w:adjustRightInd w:val="0"/>
        <w:spacing w:after="7" w:line="240" w:lineRule="auto"/>
        <w:ind w:firstLine="360"/>
        <w:rPr>
          <w:rFonts w:cs="Candara"/>
          <w:color w:val="000000"/>
          <w:sz w:val="20"/>
          <w:szCs w:val="20"/>
        </w:rPr>
      </w:pPr>
      <w:r w:rsidRPr="00D653FE">
        <w:rPr>
          <w:rFonts w:cs="Candara"/>
          <w:color w:val="000000"/>
          <w:sz w:val="20"/>
          <w:szCs w:val="20"/>
        </w:rPr>
        <w:t>Manifestazioni cliniche di Ictus ischemico ed Emorragico</w:t>
      </w:r>
    </w:p>
    <w:p w:rsidR="00D653FE" w:rsidRPr="00D653FE" w:rsidRDefault="00D653FE" w:rsidP="00104A44">
      <w:pPr>
        <w:autoSpaceDE w:val="0"/>
        <w:autoSpaceDN w:val="0"/>
        <w:adjustRightInd w:val="0"/>
        <w:spacing w:after="7" w:line="240" w:lineRule="auto"/>
        <w:ind w:firstLine="360"/>
        <w:rPr>
          <w:rFonts w:cs="Candara"/>
          <w:color w:val="000000"/>
          <w:sz w:val="20"/>
          <w:szCs w:val="20"/>
        </w:rPr>
      </w:pPr>
      <w:r w:rsidRPr="00D653FE">
        <w:rPr>
          <w:rFonts w:cs="Candara"/>
          <w:color w:val="000000"/>
          <w:sz w:val="20"/>
          <w:szCs w:val="20"/>
        </w:rPr>
        <w:t>Diagnosi</w:t>
      </w:r>
    </w:p>
    <w:p w:rsidR="00D653FE" w:rsidRPr="00D653FE" w:rsidRDefault="00D653FE" w:rsidP="00104A44">
      <w:pPr>
        <w:autoSpaceDE w:val="0"/>
        <w:autoSpaceDN w:val="0"/>
        <w:adjustRightInd w:val="0"/>
        <w:spacing w:after="7" w:line="240" w:lineRule="auto"/>
        <w:ind w:firstLine="360"/>
        <w:rPr>
          <w:rFonts w:cs="Candara"/>
          <w:color w:val="000000"/>
          <w:sz w:val="20"/>
          <w:szCs w:val="20"/>
        </w:rPr>
      </w:pPr>
      <w:r w:rsidRPr="00D653FE">
        <w:rPr>
          <w:rFonts w:cs="Candara"/>
          <w:color w:val="000000"/>
          <w:sz w:val="20"/>
          <w:szCs w:val="20"/>
        </w:rPr>
        <w:t>Complicanze precoci dell’Ictus</w:t>
      </w:r>
    </w:p>
    <w:p w:rsidR="00D653FE" w:rsidRPr="00D653FE" w:rsidRDefault="00D653FE" w:rsidP="00104A44">
      <w:pPr>
        <w:autoSpaceDE w:val="0"/>
        <w:autoSpaceDN w:val="0"/>
        <w:adjustRightInd w:val="0"/>
        <w:spacing w:after="7" w:line="240" w:lineRule="auto"/>
        <w:ind w:firstLine="360"/>
        <w:rPr>
          <w:rFonts w:cs="Candara"/>
          <w:color w:val="000000"/>
          <w:sz w:val="20"/>
          <w:szCs w:val="20"/>
        </w:rPr>
      </w:pPr>
      <w:r w:rsidRPr="00D653FE">
        <w:rPr>
          <w:rFonts w:cs="Candara"/>
          <w:color w:val="000000"/>
          <w:sz w:val="20"/>
          <w:szCs w:val="20"/>
        </w:rPr>
        <w:t xml:space="preserve">Terapia di elezione </w:t>
      </w:r>
      <w:proofErr w:type="gramStart"/>
      <w:r w:rsidRPr="00D653FE">
        <w:rPr>
          <w:rFonts w:cs="Candara"/>
          <w:color w:val="000000"/>
          <w:sz w:val="20"/>
          <w:szCs w:val="20"/>
        </w:rPr>
        <w:t>dell’ Ictus</w:t>
      </w:r>
      <w:proofErr w:type="gramEnd"/>
    </w:p>
    <w:p w:rsidR="00D653FE" w:rsidRPr="00D653FE" w:rsidRDefault="00D653FE" w:rsidP="00104A44">
      <w:pPr>
        <w:autoSpaceDE w:val="0"/>
        <w:autoSpaceDN w:val="0"/>
        <w:adjustRightInd w:val="0"/>
        <w:spacing w:after="7" w:line="240" w:lineRule="auto"/>
        <w:ind w:firstLine="360"/>
        <w:rPr>
          <w:rFonts w:cs="Candara"/>
          <w:color w:val="000000"/>
          <w:sz w:val="20"/>
          <w:szCs w:val="20"/>
        </w:rPr>
      </w:pPr>
      <w:r w:rsidRPr="00D653FE">
        <w:rPr>
          <w:rFonts w:cs="Candara"/>
          <w:color w:val="000000"/>
          <w:sz w:val="20"/>
          <w:szCs w:val="20"/>
        </w:rPr>
        <w:t>Accertamento Infermieristico</w:t>
      </w:r>
    </w:p>
    <w:p w:rsidR="00D653FE" w:rsidRPr="00D653FE" w:rsidRDefault="00D653FE" w:rsidP="00104A44">
      <w:pPr>
        <w:autoSpaceDE w:val="0"/>
        <w:autoSpaceDN w:val="0"/>
        <w:adjustRightInd w:val="0"/>
        <w:spacing w:after="7" w:line="240" w:lineRule="auto"/>
        <w:ind w:firstLine="360"/>
        <w:rPr>
          <w:rFonts w:cs="Candara"/>
          <w:color w:val="000000"/>
          <w:sz w:val="20"/>
          <w:szCs w:val="20"/>
        </w:rPr>
      </w:pPr>
      <w:r w:rsidRPr="00D653FE">
        <w:rPr>
          <w:rFonts w:cs="Candara"/>
          <w:color w:val="000000"/>
          <w:sz w:val="20"/>
          <w:szCs w:val="20"/>
        </w:rPr>
        <w:t>Priorità Infermieristiche</w:t>
      </w:r>
    </w:p>
    <w:p w:rsidR="00D653FE" w:rsidRPr="00D653FE" w:rsidRDefault="00D653FE" w:rsidP="00104A44">
      <w:pPr>
        <w:autoSpaceDE w:val="0"/>
        <w:autoSpaceDN w:val="0"/>
        <w:adjustRightInd w:val="0"/>
        <w:spacing w:after="7" w:line="240" w:lineRule="auto"/>
        <w:ind w:firstLine="360"/>
        <w:rPr>
          <w:rFonts w:cs="Candara"/>
          <w:color w:val="000000"/>
          <w:sz w:val="20"/>
          <w:szCs w:val="20"/>
        </w:rPr>
      </w:pPr>
      <w:r w:rsidRPr="00D653FE">
        <w:rPr>
          <w:rFonts w:cs="Candara"/>
          <w:color w:val="000000"/>
          <w:sz w:val="20"/>
          <w:szCs w:val="20"/>
        </w:rPr>
        <w:t>Diagnosi Infermieristiche principali con NIC e NOC</w:t>
      </w:r>
    </w:p>
    <w:p w:rsidR="00D653FE" w:rsidRPr="00D653FE" w:rsidRDefault="00D653FE" w:rsidP="00D653FE">
      <w:pPr>
        <w:autoSpaceDE w:val="0"/>
        <w:autoSpaceDN w:val="0"/>
        <w:adjustRightInd w:val="0"/>
        <w:spacing w:after="7" w:line="240" w:lineRule="auto"/>
        <w:rPr>
          <w:rFonts w:cs="Candara"/>
          <w:b/>
          <w:color w:val="000000"/>
          <w:sz w:val="20"/>
          <w:szCs w:val="20"/>
        </w:rPr>
      </w:pPr>
    </w:p>
    <w:p w:rsidR="00104A44" w:rsidRPr="00694854" w:rsidRDefault="00104A44" w:rsidP="00104A44">
      <w:pPr>
        <w:suppressAutoHyphens/>
        <w:spacing w:after="0" w:line="240" w:lineRule="auto"/>
        <w:rPr>
          <w:sz w:val="10"/>
        </w:rPr>
      </w:pPr>
    </w:p>
    <w:p w:rsidR="00250989" w:rsidRDefault="00104A44" w:rsidP="000F5C0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E308F">
        <w:rPr>
          <w:rFonts w:cs="Times New Roman"/>
          <w:b/>
          <w:bCs/>
          <w:color w:val="000000"/>
          <w:sz w:val="20"/>
        </w:rPr>
        <w:t>METODI DIDATTICI</w:t>
      </w:r>
      <w:r>
        <w:rPr>
          <w:rFonts w:ascii="Times New Roman" w:hAnsi="Times New Roman" w:cs="Times New Roman"/>
          <w:b/>
          <w:bCs/>
          <w:color w:val="000000"/>
        </w:rPr>
        <w:t xml:space="preserve">: </w:t>
      </w:r>
      <w:r w:rsidR="00250989" w:rsidRPr="00250989">
        <w:rPr>
          <w:rFonts w:ascii="Times New Roman" w:hAnsi="Times New Roman" w:cs="Times New Roman"/>
          <w:color w:val="000000"/>
        </w:rPr>
        <w:t xml:space="preserve">Lezioni frontali </w:t>
      </w:r>
    </w:p>
    <w:p w:rsidR="000F5C0B" w:rsidRDefault="00104A44" w:rsidP="000F5C0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E308F">
        <w:rPr>
          <w:rFonts w:cs="Times New Roman"/>
          <w:b/>
          <w:color w:val="000000"/>
          <w:sz w:val="20"/>
        </w:rPr>
        <w:t>SEMINARIO PROPEDEUTICO</w:t>
      </w:r>
      <w:r>
        <w:rPr>
          <w:rFonts w:ascii="Times New Roman" w:hAnsi="Times New Roman" w:cs="Times New Roman"/>
          <w:b/>
          <w:color w:val="000000"/>
        </w:rPr>
        <w:t xml:space="preserve">: </w:t>
      </w:r>
      <w:r w:rsidR="00250989">
        <w:rPr>
          <w:rFonts w:ascii="Times New Roman" w:hAnsi="Times New Roman" w:cs="Times New Roman"/>
          <w:color w:val="000000"/>
        </w:rPr>
        <w:t>Discussione di casi c</w:t>
      </w:r>
      <w:r>
        <w:rPr>
          <w:rFonts w:ascii="Times New Roman" w:hAnsi="Times New Roman" w:cs="Times New Roman"/>
          <w:color w:val="000000"/>
        </w:rPr>
        <w:t>l</w:t>
      </w:r>
      <w:r w:rsidR="000F5C0B">
        <w:rPr>
          <w:rFonts w:ascii="Times New Roman" w:hAnsi="Times New Roman" w:cs="Times New Roman"/>
          <w:color w:val="000000"/>
        </w:rPr>
        <w:t>inici elaborati dagli studenti.</w:t>
      </w:r>
    </w:p>
    <w:p w:rsidR="00250989" w:rsidRPr="00250989" w:rsidRDefault="00250989" w:rsidP="000F5C0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250989">
        <w:rPr>
          <w:rFonts w:cs="Times New Roman"/>
          <w:b/>
          <w:bCs/>
          <w:color w:val="000000"/>
          <w:sz w:val="20"/>
        </w:rPr>
        <w:t>MODALITA’</w:t>
      </w:r>
      <w:r w:rsidR="00104A44" w:rsidRPr="00DE308F">
        <w:rPr>
          <w:rFonts w:cs="Times New Roman"/>
          <w:b/>
          <w:bCs/>
          <w:color w:val="000000"/>
          <w:sz w:val="20"/>
        </w:rPr>
        <w:t xml:space="preserve"> DI VERIFICA DELL’APPRENDIMENTO</w:t>
      </w:r>
      <w:r w:rsidR="00104A44" w:rsidRPr="00104A44">
        <w:rPr>
          <w:rFonts w:ascii="Times New Roman" w:hAnsi="Times New Roman" w:cs="Times New Roman"/>
          <w:b/>
          <w:bCs/>
          <w:color w:val="000000"/>
          <w:sz w:val="20"/>
        </w:rPr>
        <w:t xml:space="preserve">: </w:t>
      </w:r>
      <w:r w:rsidRPr="00250989">
        <w:rPr>
          <w:rFonts w:ascii="Times New Roman" w:hAnsi="Times New Roman" w:cs="Times New Roman"/>
          <w:color w:val="000000"/>
        </w:rPr>
        <w:t xml:space="preserve">Prova orale individuale. </w:t>
      </w:r>
    </w:p>
    <w:p w:rsidR="00250989" w:rsidRPr="00250989" w:rsidRDefault="00104A44" w:rsidP="000F5C0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E308F">
        <w:rPr>
          <w:rFonts w:cs="Times New Roman"/>
          <w:b/>
          <w:bCs/>
          <w:color w:val="000000"/>
        </w:rPr>
        <w:t>MODALITA’ DI FREQUENZA</w:t>
      </w:r>
      <w:r>
        <w:rPr>
          <w:rFonts w:ascii="Times New Roman" w:hAnsi="Times New Roman" w:cs="Times New Roman"/>
          <w:b/>
          <w:bCs/>
          <w:color w:val="000000"/>
        </w:rPr>
        <w:t xml:space="preserve">: </w:t>
      </w:r>
      <w:r w:rsidR="00250989" w:rsidRPr="00250989">
        <w:rPr>
          <w:rFonts w:ascii="Times New Roman" w:hAnsi="Times New Roman" w:cs="Times New Roman"/>
          <w:color w:val="000000"/>
        </w:rPr>
        <w:t xml:space="preserve">Obbligatoria. </w:t>
      </w:r>
    </w:p>
    <w:p w:rsidR="00250989" w:rsidRPr="00250989" w:rsidRDefault="00250989" w:rsidP="000F5C0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250989">
        <w:rPr>
          <w:rFonts w:cs="Times New Roman"/>
          <w:b/>
          <w:bCs/>
          <w:color w:val="000000"/>
          <w:sz w:val="20"/>
        </w:rPr>
        <w:t>STRUMENT</w:t>
      </w:r>
      <w:r w:rsidR="00104A44" w:rsidRPr="00DE308F">
        <w:rPr>
          <w:rFonts w:cs="Times New Roman"/>
          <w:b/>
          <w:bCs/>
          <w:color w:val="000000"/>
          <w:sz w:val="20"/>
        </w:rPr>
        <w:t>I A SUPPORTO DELL’APPRENDIMENTO</w:t>
      </w:r>
      <w:r w:rsidR="00104A44" w:rsidRPr="00104A44">
        <w:rPr>
          <w:rFonts w:ascii="Times New Roman" w:hAnsi="Times New Roman" w:cs="Times New Roman"/>
          <w:b/>
          <w:bCs/>
          <w:color w:val="000000"/>
          <w:sz w:val="20"/>
        </w:rPr>
        <w:t xml:space="preserve">: </w:t>
      </w:r>
      <w:proofErr w:type="spellStart"/>
      <w:r w:rsidRPr="00250989">
        <w:rPr>
          <w:rFonts w:ascii="Times New Roman" w:hAnsi="Times New Roman" w:cs="Times New Roman"/>
          <w:color w:val="000000"/>
        </w:rPr>
        <w:t>Power</w:t>
      </w:r>
      <w:proofErr w:type="spellEnd"/>
      <w:r w:rsidRPr="00250989">
        <w:rPr>
          <w:rFonts w:ascii="Times New Roman" w:hAnsi="Times New Roman" w:cs="Times New Roman"/>
          <w:color w:val="000000"/>
        </w:rPr>
        <w:t xml:space="preserve"> Point. </w:t>
      </w:r>
    </w:p>
    <w:p w:rsidR="00250989" w:rsidRPr="00250989" w:rsidRDefault="00104A44" w:rsidP="000F5C0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E308F">
        <w:rPr>
          <w:rFonts w:cs="Times New Roman"/>
          <w:b/>
          <w:bCs/>
          <w:color w:val="000000"/>
          <w:sz w:val="20"/>
        </w:rPr>
        <w:t>ORARIO DI RICEVIMENTO</w:t>
      </w:r>
      <w:r w:rsidRPr="00104A44">
        <w:rPr>
          <w:rFonts w:ascii="Times New Roman" w:hAnsi="Times New Roman" w:cs="Times New Roman"/>
          <w:b/>
          <w:bCs/>
          <w:color w:val="000000"/>
          <w:sz w:val="20"/>
        </w:rPr>
        <w:t xml:space="preserve">: </w:t>
      </w:r>
      <w:r w:rsidR="00250989" w:rsidRPr="00250989">
        <w:rPr>
          <w:rFonts w:ascii="Times New Roman" w:hAnsi="Times New Roman" w:cs="Times New Roman"/>
          <w:color w:val="000000"/>
        </w:rPr>
        <w:t xml:space="preserve">Si riceve per appuntamento, contattando il numero telefonico: </w:t>
      </w:r>
      <w:r w:rsidR="00250989">
        <w:rPr>
          <w:rFonts w:ascii="Times New Roman" w:hAnsi="Times New Roman" w:cs="Times New Roman"/>
          <w:color w:val="000000"/>
        </w:rPr>
        <w:t>3494215501</w:t>
      </w:r>
      <w:r>
        <w:rPr>
          <w:rFonts w:ascii="Times New Roman" w:hAnsi="Times New Roman" w:cs="Times New Roman"/>
          <w:color w:val="000000"/>
        </w:rPr>
        <w:t xml:space="preserve"> o tramite e-mail: </w:t>
      </w:r>
      <w:r w:rsidR="00250989">
        <w:rPr>
          <w:rFonts w:ascii="Times New Roman" w:hAnsi="Times New Roman" w:cs="Times New Roman"/>
          <w:color w:val="0000FF"/>
        </w:rPr>
        <w:t>novaglie@gmail.com</w:t>
      </w:r>
      <w:r w:rsidR="00250989" w:rsidRPr="00250989">
        <w:rPr>
          <w:rFonts w:ascii="Times New Roman" w:hAnsi="Times New Roman" w:cs="Times New Roman"/>
          <w:color w:val="0000FF"/>
        </w:rPr>
        <w:t xml:space="preserve"> </w:t>
      </w:r>
    </w:p>
    <w:p w:rsidR="00C604C2" w:rsidRDefault="00250989" w:rsidP="0069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50989">
        <w:rPr>
          <w:rFonts w:cs="Times New Roman"/>
          <w:b/>
          <w:bCs/>
          <w:color w:val="000000"/>
          <w:sz w:val="20"/>
        </w:rPr>
        <w:t>DATE APPELLI</w:t>
      </w:r>
      <w:r w:rsidRPr="00250989">
        <w:rPr>
          <w:rFonts w:ascii="Times New Roman" w:hAnsi="Times New Roman" w:cs="Times New Roman"/>
          <w:b/>
          <w:bCs/>
          <w:color w:val="000000"/>
          <w:sz w:val="20"/>
        </w:rPr>
        <w:t xml:space="preserve">: </w:t>
      </w:r>
      <w:r w:rsidRPr="00250989">
        <w:rPr>
          <w:rFonts w:ascii="Times New Roman" w:hAnsi="Times New Roman" w:cs="Times New Roman"/>
          <w:color w:val="000000"/>
        </w:rPr>
        <w:t>Da definire.</w:t>
      </w:r>
    </w:p>
    <w:p w:rsidR="00694854" w:rsidRPr="00694854" w:rsidRDefault="00694854" w:rsidP="0069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0"/>
        </w:rPr>
      </w:pPr>
    </w:p>
    <w:p w:rsidR="00C604C2" w:rsidRDefault="00694854" w:rsidP="00C604C2">
      <w:pPr>
        <w:rPr>
          <w:b/>
          <w:sz w:val="20"/>
        </w:rPr>
      </w:pPr>
      <w:r w:rsidRPr="00694854">
        <w:rPr>
          <w:b/>
          <w:sz w:val="20"/>
        </w:rPr>
        <w:t>BIBLIOGRAFIA</w:t>
      </w:r>
    </w:p>
    <w:p w:rsidR="00692404" w:rsidRPr="00692404" w:rsidRDefault="00692404" w:rsidP="00C604C2">
      <w:pPr>
        <w:pStyle w:val="PreformattatoHTML"/>
        <w:numPr>
          <w:ilvl w:val="0"/>
          <w:numId w:val="4"/>
        </w:numPr>
        <w:rPr>
          <w:rFonts w:asciiTheme="minorHAnsi" w:hAnsiTheme="minorHAnsi" w:cs="Times New Roman"/>
          <w:sz w:val="22"/>
          <w:szCs w:val="24"/>
        </w:rPr>
      </w:pPr>
      <w:r w:rsidRPr="00A10AD8">
        <w:rPr>
          <w:rFonts w:asciiTheme="minorHAnsi" w:hAnsiTheme="minorHAnsi" w:cs="Times New Roman"/>
          <w:sz w:val="22"/>
          <w:szCs w:val="24"/>
        </w:rPr>
        <w:t xml:space="preserve">Craven R.F., </w:t>
      </w:r>
      <w:proofErr w:type="spellStart"/>
      <w:r w:rsidRPr="00A10AD8">
        <w:rPr>
          <w:rFonts w:asciiTheme="minorHAnsi" w:hAnsiTheme="minorHAnsi" w:cs="Times New Roman"/>
          <w:sz w:val="22"/>
          <w:szCs w:val="24"/>
        </w:rPr>
        <w:t>Hirnle</w:t>
      </w:r>
      <w:proofErr w:type="spellEnd"/>
      <w:r w:rsidRPr="00A10AD8">
        <w:rPr>
          <w:rFonts w:asciiTheme="minorHAnsi" w:hAnsiTheme="minorHAnsi" w:cs="Times New Roman"/>
          <w:sz w:val="22"/>
          <w:szCs w:val="24"/>
        </w:rPr>
        <w:t xml:space="preserve"> C.J., Principi fondamentali dell'assistenza </w:t>
      </w:r>
      <w:proofErr w:type="gramStart"/>
      <w:r w:rsidRPr="00A10AD8">
        <w:rPr>
          <w:rFonts w:asciiTheme="minorHAnsi" w:hAnsiTheme="minorHAnsi" w:cs="Times New Roman"/>
          <w:sz w:val="22"/>
          <w:szCs w:val="24"/>
        </w:rPr>
        <w:t>infermieristica  Vol.</w:t>
      </w:r>
      <w:proofErr w:type="gramEnd"/>
      <w:r w:rsidRPr="00A10AD8">
        <w:rPr>
          <w:rFonts w:asciiTheme="minorHAnsi" w:hAnsiTheme="minorHAnsi" w:cs="Times New Roman"/>
          <w:sz w:val="22"/>
          <w:szCs w:val="24"/>
        </w:rPr>
        <w:t xml:space="preserve"> 1 e </w:t>
      </w:r>
      <w:r w:rsidRPr="00A10AD8">
        <w:rPr>
          <w:rFonts w:asciiTheme="minorHAnsi" w:hAnsiTheme="minorHAnsi" w:cs="Times New Roman"/>
          <w:color w:val="333333"/>
          <w:sz w:val="22"/>
          <w:szCs w:val="24"/>
        </w:rPr>
        <w:t>Volume 2</w:t>
      </w:r>
      <w:r w:rsidRPr="00A10AD8">
        <w:rPr>
          <w:rFonts w:asciiTheme="minorHAnsi" w:hAnsiTheme="minorHAnsi" w:cs="Times New Roman"/>
          <w:sz w:val="22"/>
          <w:szCs w:val="24"/>
        </w:rPr>
        <w:t xml:space="preserve">; Casa  Ed. </w:t>
      </w:r>
      <w:proofErr w:type="gramStart"/>
      <w:r w:rsidRPr="00A10AD8">
        <w:rPr>
          <w:rFonts w:asciiTheme="minorHAnsi" w:hAnsiTheme="minorHAnsi" w:cs="Times New Roman"/>
          <w:sz w:val="22"/>
          <w:szCs w:val="24"/>
        </w:rPr>
        <w:t>Ambrosiana  Milano</w:t>
      </w:r>
      <w:proofErr w:type="gramEnd"/>
      <w:r w:rsidRPr="00A10AD8">
        <w:rPr>
          <w:rFonts w:asciiTheme="minorHAnsi" w:hAnsiTheme="minorHAnsi" w:cs="Times New Roman"/>
          <w:sz w:val="22"/>
          <w:szCs w:val="24"/>
        </w:rPr>
        <w:t xml:space="preserve"> 2007.</w:t>
      </w:r>
    </w:p>
    <w:p w:rsidR="00C604C2" w:rsidRDefault="00C604C2" w:rsidP="00C604C2">
      <w:pPr>
        <w:numPr>
          <w:ilvl w:val="0"/>
          <w:numId w:val="4"/>
        </w:numPr>
        <w:suppressAutoHyphens/>
        <w:spacing w:after="0" w:line="240" w:lineRule="auto"/>
      </w:pPr>
      <w:proofErr w:type="spellStart"/>
      <w:r>
        <w:t>Brunner</w:t>
      </w:r>
      <w:proofErr w:type="spellEnd"/>
      <w:r>
        <w:t xml:space="preserve"> – </w:t>
      </w:r>
      <w:proofErr w:type="spellStart"/>
      <w:r>
        <w:t>Suddarth</w:t>
      </w:r>
      <w:proofErr w:type="spellEnd"/>
      <w:r>
        <w:t xml:space="preserve"> N</w:t>
      </w:r>
      <w:r w:rsidR="00A10AD8">
        <w:t xml:space="preserve">ursing Medico Chirurgico </w:t>
      </w:r>
      <w:proofErr w:type="spellStart"/>
      <w:r w:rsidR="00A10AD8">
        <w:t>Vol</w:t>
      </w:r>
      <w:proofErr w:type="spellEnd"/>
      <w:r w:rsidR="00A10AD8">
        <w:t xml:space="preserve"> 1 e </w:t>
      </w:r>
      <w:proofErr w:type="spellStart"/>
      <w:r w:rsidR="00A10AD8">
        <w:t>Vol</w:t>
      </w:r>
      <w:proofErr w:type="spellEnd"/>
      <w:r w:rsidR="00A10AD8">
        <w:t xml:space="preserve"> 2; </w:t>
      </w:r>
      <w:r>
        <w:t>Casa editrice Ambrosiana, Milano, 2005;</w:t>
      </w:r>
    </w:p>
    <w:p w:rsidR="00C604C2" w:rsidRDefault="00C604C2" w:rsidP="00C604C2">
      <w:pPr>
        <w:numPr>
          <w:ilvl w:val="0"/>
          <w:numId w:val="4"/>
        </w:numPr>
        <w:suppressAutoHyphens/>
        <w:spacing w:after="0" w:line="240" w:lineRule="auto"/>
      </w:pPr>
      <w:proofErr w:type="spellStart"/>
      <w:r>
        <w:t>Carpenito</w:t>
      </w:r>
      <w:proofErr w:type="spellEnd"/>
      <w:r>
        <w:t xml:space="preserve"> </w:t>
      </w:r>
      <w:proofErr w:type="gramStart"/>
      <w:r>
        <w:t>L.J. ,</w:t>
      </w:r>
      <w:proofErr w:type="gramEnd"/>
      <w:r>
        <w:t xml:space="preserve"> Diagnosi Infermieristiche – applicazione alla pratica clinica – 2^ edizione, Casa Editrice, Casa Editrice Ambrosiana, Milano, 2005;</w:t>
      </w:r>
    </w:p>
    <w:p w:rsidR="00C604C2" w:rsidRDefault="00C604C2" w:rsidP="00C604C2">
      <w:pPr>
        <w:numPr>
          <w:ilvl w:val="0"/>
          <w:numId w:val="4"/>
        </w:numPr>
        <w:suppressAutoHyphens/>
        <w:spacing w:after="0" w:line="240" w:lineRule="auto"/>
      </w:pPr>
      <w:proofErr w:type="spellStart"/>
      <w:r>
        <w:t>Carpenito</w:t>
      </w:r>
      <w:proofErr w:type="spellEnd"/>
      <w:r>
        <w:t xml:space="preserve"> </w:t>
      </w:r>
      <w:proofErr w:type="gramStart"/>
      <w:r>
        <w:t>L.J. ,</w:t>
      </w:r>
      <w:proofErr w:type="gramEnd"/>
      <w:r>
        <w:t xml:space="preserve"> Diagnosi Infermieristiche – manuale tascabile – 2^ edizione, Casa Editrice, Casa Editrice Ambrosiana, Milano, 2005;</w:t>
      </w:r>
    </w:p>
    <w:p w:rsidR="00692404" w:rsidRDefault="00692404"/>
    <w:p w:rsidR="00654089" w:rsidRDefault="00D874D7" w:rsidP="00654089">
      <w:pPr>
        <w:spacing w:after="0"/>
      </w:pPr>
      <w:r>
        <w:t xml:space="preserve">Lecce lì, </w:t>
      </w:r>
      <w:r w:rsidR="00D653FE">
        <w:t xml:space="preserve">06 marzo </w:t>
      </w:r>
      <w:r w:rsidR="008C3687">
        <w:t>201</w:t>
      </w:r>
      <w:r w:rsidR="00D653FE">
        <w:t>7</w:t>
      </w:r>
      <w:r>
        <w:t>.</w:t>
      </w:r>
      <w:r w:rsidR="00672AFF">
        <w:t xml:space="preserve">                                                            </w:t>
      </w:r>
      <w:r w:rsidR="000B4A44">
        <w:t xml:space="preserve">                               </w:t>
      </w:r>
      <w:r w:rsidR="00654089">
        <w:t xml:space="preserve"> </w:t>
      </w:r>
      <w:r w:rsidR="00672AFF">
        <w:t>IL DOCENTE</w:t>
      </w:r>
      <w:r w:rsidR="008C3687">
        <w:t xml:space="preserve">        </w:t>
      </w:r>
    </w:p>
    <w:p w:rsidR="002B583D" w:rsidRDefault="00654089" w:rsidP="00654089">
      <w:pPr>
        <w:spacing w:after="0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F8227F8" wp14:editId="7F441CB9">
            <wp:simplePos x="0" y="0"/>
            <wp:positionH relativeFrom="margin">
              <wp:posOffset>3718560</wp:posOffset>
            </wp:positionH>
            <wp:positionV relativeFrom="page">
              <wp:posOffset>7515225</wp:posOffset>
            </wp:positionV>
            <wp:extent cx="2084070" cy="914400"/>
            <wp:effectExtent l="0" t="0" r="0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</w:t>
      </w:r>
      <w:r w:rsidR="000B4A44">
        <w:t xml:space="preserve">                     d</w:t>
      </w:r>
      <w:r w:rsidR="008C3687">
        <w:t>ott. Riso Biagio</w:t>
      </w:r>
    </w:p>
    <w:p w:rsidR="002B583D" w:rsidRDefault="002B583D" w:rsidP="00D653FE">
      <w:pPr>
        <w:tabs>
          <w:tab w:val="left" w:pos="615"/>
        </w:tabs>
      </w:pPr>
    </w:p>
    <w:p w:rsidR="002B583D" w:rsidRDefault="002B583D" w:rsidP="002B583D">
      <w:pPr>
        <w:jc w:val="right"/>
      </w:pPr>
    </w:p>
    <w:p w:rsidR="002B583D" w:rsidRDefault="002B583D" w:rsidP="002B583D">
      <w:proofErr w:type="gramStart"/>
      <w:r>
        <w:t>STUDENTE:_</w:t>
      </w:r>
      <w:proofErr w:type="gramEnd"/>
      <w:r>
        <w:t>_________________________________ FIRMA____________________________________</w:t>
      </w:r>
    </w:p>
    <w:p w:rsidR="002B583D" w:rsidRDefault="002B583D" w:rsidP="002B583D"/>
    <w:p w:rsidR="002B583D" w:rsidRDefault="002B583D" w:rsidP="002B583D">
      <w:proofErr w:type="gramStart"/>
      <w:r>
        <w:t>STUDENTE:_</w:t>
      </w:r>
      <w:proofErr w:type="gramEnd"/>
      <w:r>
        <w:t>_________________________________FIRMA_____________________________________</w:t>
      </w:r>
    </w:p>
    <w:p w:rsidR="002B583D" w:rsidRPr="002B583D" w:rsidRDefault="002B583D" w:rsidP="002B583D">
      <w:bookmarkStart w:id="0" w:name="_GoBack"/>
      <w:bookmarkEnd w:id="0"/>
    </w:p>
    <w:sectPr w:rsidR="002B583D" w:rsidRPr="002B583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AEE" w:rsidRDefault="00697AEE" w:rsidP="00CD77AA">
      <w:pPr>
        <w:spacing w:after="0" w:line="240" w:lineRule="auto"/>
      </w:pPr>
      <w:r>
        <w:separator/>
      </w:r>
    </w:p>
  </w:endnote>
  <w:endnote w:type="continuationSeparator" w:id="0">
    <w:p w:rsidR="00697AEE" w:rsidRDefault="00697AEE" w:rsidP="00CD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AEE" w:rsidRDefault="00697AEE" w:rsidP="00CD77AA">
      <w:pPr>
        <w:spacing w:after="0" w:line="240" w:lineRule="auto"/>
      </w:pPr>
      <w:r>
        <w:separator/>
      </w:r>
    </w:p>
  </w:footnote>
  <w:footnote w:type="continuationSeparator" w:id="0">
    <w:p w:rsidR="00697AEE" w:rsidRDefault="00697AEE" w:rsidP="00CD7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7AA" w:rsidRPr="008C3687" w:rsidRDefault="00CD77AA" w:rsidP="008C3687">
    <w:pPr>
      <w:pStyle w:val="Intestazione"/>
      <w:jc w:val="center"/>
      <w:rPr>
        <w:color w:val="5B9BD5" w:themeColor="accent1"/>
        <w:sz w:val="20"/>
      </w:rPr>
    </w:pPr>
    <w:r w:rsidRPr="00407228">
      <w:rPr>
        <w:b/>
        <w:noProof/>
        <w:sz w:val="28"/>
        <w:szCs w:val="28"/>
        <w:lang w:eastAsia="it-IT"/>
      </w:rPr>
      <w:drawing>
        <wp:inline distT="0" distB="0" distL="0" distR="0">
          <wp:extent cx="875038" cy="971550"/>
          <wp:effectExtent l="889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879293" cy="976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77AA" w:rsidRPr="008C3687" w:rsidRDefault="00CD77AA" w:rsidP="00CD77AA">
    <w:pPr>
      <w:pStyle w:val="Default"/>
      <w:jc w:val="center"/>
      <w:rPr>
        <w:szCs w:val="32"/>
      </w:rPr>
    </w:pPr>
    <w:r w:rsidRPr="008C3687">
      <w:rPr>
        <w:b/>
        <w:bCs/>
        <w:szCs w:val="32"/>
      </w:rPr>
      <w:t>CORSO DI LAUREA IN INFERMIERISTICA</w:t>
    </w:r>
  </w:p>
  <w:p w:rsidR="00CD77AA" w:rsidRPr="008C3687" w:rsidRDefault="00CD77AA" w:rsidP="00CD77AA">
    <w:pPr>
      <w:pStyle w:val="Default"/>
      <w:jc w:val="center"/>
      <w:rPr>
        <w:sz w:val="22"/>
        <w:szCs w:val="28"/>
      </w:rPr>
    </w:pPr>
    <w:r w:rsidRPr="008C3687">
      <w:rPr>
        <w:b/>
        <w:bCs/>
        <w:sz w:val="22"/>
        <w:szCs w:val="28"/>
      </w:rPr>
      <w:t>Sede decentrata: Polo Didattico del Salento ASL di Lecce</w:t>
    </w:r>
  </w:p>
  <w:p w:rsidR="00CD77AA" w:rsidRPr="008C3687" w:rsidRDefault="00CD77AA" w:rsidP="00CD77AA">
    <w:pPr>
      <w:pStyle w:val="Default"/>
      <w:jc w:val="center"/>
      <w:rPr>
        <w:sz w:val="22"/>
        <w:szCs w:val="28"/>
      </w:rPr>
    </w:pPr>
    <w:r w:rsidRPr="008C3687">
      <w:rPr>
        <w:b/>
        <w:bCs/>
        <w:sz w:val="22"/>
        <w:szCs w:val="28"/>
      </w:rPr>
      <w:t>Corso integrato di:</w:t>
    </w:r>
  </w:p>
  <w:p w:rsidR="00CD77AA" w:rsidRPr="008C3687" w:rsidRDefault="00CD77AA" w:rsidP="00CD77AA">
    <w:pPr>
      <w:pStyle w:val="Default"/>
      <w:jc w:val="center"/>
      <w:rPr>
        <w:sz w:val="22"/>
        <w:szCs w:val="28"/>
      </w:rPr>
    </w:pPr>
    <w:r w:rsidRPr="008C3687">
      <w:rPr>
        <w:b/>
        <w:bCs/>
        <w:sz w:val="22"/>
        <w:szCs w:val="28"/>
      </w:rPr>
      <w:t>MEDICINA CLINICA</w:t>
    </w:r>
  </w:p>
  <w:p w:rsidR="00CD77AA" w:rsidRPr="008C3687" w:rsidRDefault="00CD77AA" w:rsidP="00CD77AA">
    <w:pPr>
      <w:pStyle w:val="Default"/>
      <w:jc w:val="center"/>
      <w:rPr>
        <w:sz w:val="20"/>
        <w:szCs w:val="23"/>
      </w:rPr>
    </w:pPr>
    <w:r w:rsidRPr="008C3687">
      <w:rPr>
        <w:b/>
        <w:bCs/>
        <w:sz w:val="20"/>
        <w:szCs w:val="23"/>
      </w:rPr>
      <w:t>PROGRAMMA DI</w:t>
    </w:r>
  </w:p>
  <w:p w:rsidR="00CD77AA" w:rsidRPr="008C3687" w:rsidRDefault="00CD77AA" w:rsidP="00CD77AA">
    <w:pPr>
      <w:pStyle w:val="Default"/>
      <w:jc w:val="center"/>
      <w:rPr>
        <w:color w:val="FF0000"/>
        <w:sz w:val="20"/>
        <w:szCs w:val="23"/>
      </w:rPr>
    </w:pPr>
    <w:r w:rsidRPr="008C3687">
      <w:rPr>
        <w:b/>
        <w:bCs/>
        <w:color w:val="FF0000"/>
        <w:sz w:val="20"/>
        <w:szCs w:val="23"/>
      </w:rPr>
      <w:t>MED. 45 INFERMIERISTICA CLINICA IN MEDICINA</w:t>
    </w:r>
  </w:p>
  <w:p w:rsidR="00CD77AA" w:rsidRPr="008C3687" w:rsidRDefault="00D653FE" w:rsidP="00CD77AA">
    <w:pPr>
      <w:pStyle w:val="Default"/>
      <w:jc w:val="center"/>
      <w:rPr>
        <w:sz w:val="20"/>
        <w:szCs w:val="23"/>
      </w:rPr>
    </w:pPr>
    <w:r>
      <w:rPr>
        <w:b/>
        <w:bCs/>
        <w:sz w:val="20"/>
        <w:szCs w:val="23"/>
      </w:rPr>
      <w:t>ANNO ACCADEMICO 2016</w:t>
    </w:r>
    <w:r w:rsidR="00CD77AA" w:rsidRPr="008C3687">
      <w:rPr>
        <w:b/>
        <w:bCs/>
        <w:sz w:val="20"/>
        <w:szCs w:val="23"/>
      </w:rPr>
      <w:t>-201</w:t>
    </w:r>
    <w:r>
      <w:rPr>
        <w:b/>
        <w:bCs/>
        <w:sz w:val="20"/>
        <w:szCs w:val="23"/>
      </w:rPr>
      <w:t>7</w:t>
    </w:r>
  </w:p>
  <w:p w:rsidR="00CD77AA" w:rsidRPr="008C3687" w:rsidRDefault="00CD77AA" w:rsidP="00CD77AA">
    <w:pPr>
      <w:pStyle w:val="Intestazione"/>
      <w:jc w:val="center"/>
      <w:rPr>
        <w:sz w:val="18"/>
      </w:rPr>
    </w:pPr>
    <w:r w:rsidRPr="008C3687">
      <w:rPr>
        <w:b/>
        <w:bCs/>
        <w:sz w:val="20"/>
        <w:szCs w:val="23"/>
      </w:rPr>
      <w:t xml:space="preserve">2° ANNO 1° SEMESTRE (3 C.F.U.) </w:t>
    </w:r>
    <w:r w:rsidRPr="008C3687">
      <w:rPr>
        <w:sz w:val="20"/>
        <w:szCs w:val="23"/>
      </w:rPr>
      <w:t>Equivalenti a 36 ore di lezioni frontali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singleLevel"/>
    <w:tmpl w:val="00000007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D"/>
    <w:multiLevelType w:val="singleLevel"/>
    <w:tmpl w:val="0000000D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E"/>
    <w:multiLevelType w:val="singleLevel"/>
    <w:tmpl w:val="0000000E"/>
    <w:name w:val="WW8Num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8903A16"/>
    <w:multiLevelType w:val="hybridMultilevel"/>
    <w:tmpl w:val="7D06F30E"/>
    <w:lvl w:ilvl="0" w:tplc="EE2811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82A9F"/>
    <w:multiLevelType w:val="hybridMultilevel"/>
    <w:tmpl w:val="A09CF7E6"/>
    <w:lvl w:ilvl="0" w:tplc="E67266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AA"/>
    <w:rsid w:val="000B4A44"/>
    <w:rsid w:val="000F5C0B"/>
    <w:rsid w:val="00104A44"/>
    <w:rsid w:val="00163264"/>
    <w:rsid w:val="00194956"/>
    <w:rsid w:val="001A2AC6"/>
    <w:rsid w:val="00250989"/>
    <w:rsid w:val="002B39A9"/>
    <w:rsid w:val="002B583D"/>
    <w:rsid w:val="003107B0"/>
    <w:rsid w:val="00365220"/>
    <w:rsid w:val="003C16DE"/>
    <w:rsid w:val="005A031C"/>
    <w:rsid w:val="005D0C30"/>
    <w:rsid w:val="005D2254"/>
    <w:rsid w:val="00654089"/>
    <w:rsid w:val="00672AFF"/>
    <w:rsid w:val="00692404"/>
    <w:rsid w:val="00694854"/>
    <w:rsid w:val="00697AEE"/>
    <w:rsid w:val="00811BFA"/>
    <w:rsid w:val="00846E3A"/>
    <w:rsid w:val="008C3687"/>
    <w:rsid w:val="00A10AD8"/>
    <w:rsid w:val="00B25B3F"/>
    <w:rsid w:val="00C604C2"/>
    <w:rsid w:val="00CD77AA"/>
    <w:rsid w:val="00D653FE"/>
    <w:rsid w:val="00D874D7"/>
    <w:rsid w:val="00DE308F"/>
    <w:rsid w:val="00EE7FAA"/>
    <w:rsid w:val="00F2108A"/>
    <w:rsid w:val="00F3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B22E1-AA5D-4F3C-9112-8D7BF06F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C604C2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77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77AA"/>
  </w:style>
  <w:style w:type="paragraph" w:styleId="Pidipagina">
    <w:name w:val="footer"/>
    <w:basedOn w:val="Normale"/>
    <w:link w:val="PidipaginaCarattere"/>
    <w:uiPriority w:val="99"/>
    <w:unhideWhenUsed/>
    <w:rsid w:val="00CD77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77AA"/>
  </w:style>
  <w:style w:type="paragraph" w:customStyle="1" w:styleId="Default">
    <w:name w:val="Default"/>
    <w:rsid w:val="00CD77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C604C2"/>
    <w:rPr>
      <w:rFonts w:ascii="Times New Roman" w:eastAsia="Times New Roman" w:hAnsi="Times New Roman" w:cs="Times New Roman"/>
      <w:sz w:val="20"/>
      <w:szCs w:val="20"/>
      <w:u w:val="single"/>
      <w:lang w:eastAsia="ar-SA"/>
    </w:rPr>
  </w:style>
  <w:style w:type="paragraph" w:styleId="PreformattatoHTML">
    <w:name w:val="HTML Preformatted"/>
    <w:basedOn w:val="Normale"/>
    <w:link w:val="PreformattatoHTMLCarattere"/>
    <w:rsid w:val="00C60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customStyle="1" w:styleId="PreformattatoHTMLCarattere">
    <w:name w:val="Preformattato HTML Carattere"/>
    <w:basedOn w:val="Carpredefinitoparagrafo"/>
    <w:link w:val="PreformattatoHTML"/>
    <w:rsid w:val="00C604C2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104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integrato di: INFERMIERISTICA CLINICA IN MEDICINA Programma del Corso di:INFERMIRISTICA GENERALE E CLINICA</vt:lpstr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integrato di: INFERMIERISTICA CLINICA IN MEDICINA Programma del Corso di:INFERMIRISTICA GENERALE E CLINICA</dc:title>
  <dc:subject/>
  <dc:creator>biagio</dc:creator>
  <cp:keywords/>
  <dc:description/>
  <cp:lastModifiedBy>possibile</cp:lastModifiedBy>
  <cp:revision>2</cp:revision>
  <cp:lastPrinted>2015-02-07T22:16:00Z</cp:lastPrinted>
  <dcterms:created xsi:type="dcterms:W3CDTF">2017-03-06T10:34:00Z</dcterms:created>
  <dcterms:modified xsi:type="dcterms:W3CDTF">2017-03-06T10:34:00Z</dcterms:modified>
</cp:coreProperties>
</file>